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УТВЕРЖДЕНО </w:t>
      </w:r>
    </w:p>
    <w:p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30 октября 2019 года № 1031</w:t>
      </w:r>
      <w:bookmarkStart w:id="0" w:name="_GoBack"/>
      <w:bookmarkEnd w:id="0"/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outlineLvl w:val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 О Л О Ж Е Н И Е</w:t>
      </w:r>
    </w:p>
    <w:p>
      <w:pPr>
        <w:jc w:val="center"/>
        <w:outlineLvl w:val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 проведении в 2019 году на территории Тазовского района</w:t>
      </w:r>
    </w:p>
    <w:p>
      <w:pPr>
        <w:jc w:val="center"/>
        <w:outlineLvl w:val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I этапа окружного конкурса детского рисунка</w:t>
      </w:r>
    </w:p>
    <w:p>
      <w:pPr>
        <w:jc w:val="center"/>
        <w:outlineLvl w:val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«Охрана труда глазами детей»</w:t>
      </w:r>
    </w:p>
    <w:p>
      <w:pPr>
        <w:jc w:val="center"/>
        <w:outlineLvl w:val="0"/>
        <w:rPr>
          <w:rFonts w:ascii="PT Astra Serif" w:hAnsi="PT Astra Serif"/>
          <w:b/>
          <w:sz w:val="28"/>
          <w:szCs w:val="28"/>
        </w:rPr>
      </w:pPr>
    </w:p>
    <w:p>
      <w:pPr>
        <w:jc w:val="center"/>
        <w:outlineLvl w:val="0"/>
        <w:rPr>
          <w:rFonts w:ascii="PT Astra Serif" w:hAnsi="PT Astra Serif"/>
          <w:b/>
          <w:sz w:val="28"/>
          <w:szCs w:val="28"/>
        </w:rPr>
      </w:pPr>
    </w:p>
    <w:p>
      <w:pPr>
        <w:pStyle w:val="a3"/>
        <w:numPr>
          <w:ilvl w:val="0"/>
          <w:numId w:val="13"/>
        </w:numPr>
        <w:tabs>
          <w:tab w:val="left" w:pos="0"/>
        </w:tabs>
        <w:ind w:left="0" w:firstLine="0"/>
        <w:jc w:val="center"/>
        <w:outlineLvl w:val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Общие положения</w:t>
      </w:r>
    </w:p>
    <w:p>
      <w:pPr>
        <w:tabs>
          <w:tab w:val="left" w:pos="993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9"/>
        </w:numPr>
        <w:tabs>
          <w:tab w:val="left" w:pos="0"/>
          <w:tab w:val="left" w:pos="1276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Положение о проведении в 2019 году на территории Тазовского района 1 этапа окружного конкурса детского рисунка «Охрана труда глазами детей» (далее – Положение) определяет цели, задачи, порядок организации                    и проведения на территории Тазовского района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детского рисунка «Охрана труда глазами детей» (далее – район, окружной конкурс).</w:t>
      </w:r>
    </w:p>
    <w:p>
      <w:pPr>
        <w:pStyle w:val="a3"/>
        <w:numPr>
          <w:ilvl w:val="1"/>
          <w:numId w:val="9"/>
        </w:numPr>
        <w:tabs>
          <w:tab w:val="left" w:pos="0"/>
          <w:tab w:val="left" w:pos="1276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Окружной конкурс на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этапе проводится в целях привлечения внимания общественности к проблемам производственного травматизма                        и его профилактике, начиная со школьной скамьи, и формирования осознанного отношения подрастающего поколения к вопросам безопасности труда и сохранения своего  здоровья. </w:t>
      </w:r>
    </w:p>
    <w:p>
      <w:pPr>
        <w:tabs>
          <w:tab w:val="left" w:pos="0"/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Основная задача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– привлечение внимания                    к важности решения вопросов обеспечения безопасных условий труда                            на рабочих местах в организациях, расположенных на территории района.</w:t>
      </w:r>
    </w:p>
    <w:p>
      <w:pPr>
        <w:pStyle w:val="a3"/>
        <w:numPr>
          <w:ilvl w:val="1"/>
          <w:numId w:val="9"/>
        </w:numPr>
        <w:tabs>
          <w:tab w:val="left" w:pos="0"/>
          <w:tab w:val="left" w:pos="1276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Участниками окружного конкурса являются дети 2-х возрастных категорий:</w:t>
      </w:r>
    </w:p>
    <w:p>
      <w:pPr>
        <w:pStyle w:val="a3"/>
        <w:numPr>
          <w:ilvl w:val="0"/>
          <w:numId w:val="11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 7 до 9 лет (включительно);</w:t>
      </w:r>
    </w:p>
    <w:p>
      <w:pPr>
        <w:pStyle w:val="a3"/>
        <w:numPr>
          <w:ilvl w:val="0"/>
          <w:numId w:val="11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 10 до 15 лет (включительно).</w:t>
      </w:r>
    </w:p>
    <w:p>
      <w:pPr>
        <w:pStyle w:val="a3"/>
        <w:numPr>
          <w:ilvl w:val="1"/>
          <w:numId w:val="9"/>
        </w:numPr>
        <w:tabs>
          <w:tab w:val="left" w:pos="0"/>
          <w:tab w:val="left" w:pos="1276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Под творческой работой в настоящем Положении понимается детский рисунок, представленный на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 окружного конкурса, для принятия участия в нём.</w:t>
      </w:r>
    </w:p>
    <w:p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3"/>
        </w:numPr>
        <w:tabs>
          <w:tab w:val="left" w:pos="0"/>
        </w:tabs>
        <w:ind w:left="0" w:firstLine="0"/>
        <w:jc w:val="center"/>
        <w:outlineLvl w:val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Организация проведения окружного конкурса</w:t>
      </w:r>
    </w:p>
    <w:p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3"/>
        </w:numPr>
        <w:tabs>
          <w:tab w:val="left" w:pos="0"/>
          <w:tab w:val="left" w:pos="1276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Основными принципами проведения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являются:</w:t>
      </w:r>
    </w:p>
    <w:p>
      <w:pPr>
        <w:pStyle w:val="a3"/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публичность и открытость;</w:t>
      </w:r>
    </w:p>
    <w:p>
      <w:pPr>
        <w:pStyle w:val="a3"/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равенство прав участников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конкурса.</w:t>
      </w:r>
    </w:p>
    <w:p>
      <w:pPr>
        <w:pStyle w:val="a3"/>
        <w:numPr>
          <w:ilvl w:val="1"/>
          <w:numId w:val="13"/>
        </w:numPr>
        <w:tabs>
          <w:tab w:val="left" w:pos="0"/>
          <w:tab w:val="left" w:pos="1276"/>
        </w:tabs>
        <w:ind w:left="0" w:firstLine="709"/>
        <w:jc w:val="both"/>
        <w:outlineLvl w:val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Информация о проведении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размещается на официальных интернет-сайтах Тазовского района в течение 5 рабочих дней после вступления в силу постановления Администрации Тазовского района.</w:t>
      </w:r>
    </w:p>
    <w:p>
      <w:pPr>
        <w:pStyle w:val="a3"/>
        <w:numPr>
          <w:ilvl w:val="1"/>
          <w:numId w:val="13"/>
        </w:numPr>
        <w:tabs>
          <w:tab w:val="left" w:pos="0"/>
          <w:tab w:val="left" w:pos="1276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Информация о проведении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включает                     в себя:</w:t>
      </w:r>
    </w:p>
    <w:p>
      <w:pPr>
        <w:pStyle w:val="a3"/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объявление о проведении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конкурса;</w:t>
      </w:r>
    </w:p>
    <w:p>
      <w:pPr>
        <w:pStyle w:val="a3"/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срок начала и окончания приема документов;</w:t>
      </w:r>
    </w:p>
    <w:p>
      <w:pPr>
        <w:pStyle w:val="a3"/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перечень документов, указанных в пункте 3.2 настоящего Положения;</w:t>
      </w:r>
    </w:p>
    <w:p>
      <w:pPr>
        <w:pStyle w:val="a3"/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образец заявок на участие в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этапе окружного конкурса согласно приложению № 1 к настоящему Положению (далее – заявка);</w:t>
      </w:r>
    </w:p>
    <w:p>
      <w:pPr>
        <w:pStyle w:val="a3"/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адрес приема документов;</w:t>
      </w:r>
    </w:p>
    <w:p>
      <w:pPr>
        <w:pStyle w:val="a3"/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требования к оформлению творческой работы;</w:t>
      </w:r>
    </w:p>
    <w:p>
      <w:pPr>
        <w:pStyle w:val="a3"/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критерии оценки творческих работ в соответствии с приложением № 2 к настоящему Положению;</w:t>
      </w:r>
    </w:p>
    <w:p>
      <w:pPr>
        <w:pStyle w:val="a3"/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сроки проведения процедур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конкурса.</w:t>
      </w:r>
    </w:p>
    <w:p>
      <w:pPr>
        <w:pStyle w:val="a3"/>
        <w:numPr>
          <w:ilvl w:val="1"/>
          <w:numId w:val="13"/>
        </w:numPr>
        <w:tabs>
          <w:tab w:val="left" w:pos="0"/>
          <w:tab w:val="left" w:pos="1276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Для выполнения задач, связанных с реализацией мероприятий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конкурса, межведомственная комиссия по охране труда Тазовского района (далее – Межведомственная комиссия) осуществляет:</w:t>
      </w:r>
    </w:p>
    <w:p>
      <w:pPr>
        <w:pStyle w:val="a3"/>
        <w:numPr>
          <w:ilvl w:val="0"/>
          <w:numId w:val="22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отбор творческих работ (не более 3-х в каждой возрастной категории) в соответствии с критериями оценки творческих работ согласно приложению                    № 2 к настоящему Положению;</w:t>
      </w:r>
    </w:p>
    <w:p>
      <w:pPr>
        <w:pStyle w:val="a3"/>
        <w:numPr>
          <w:ilvl w:val="0"/>
          <w:numId w:val="22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подведение итогов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конкурса;</w:t>
      </w:r>
    </w:p>
    <w:p>
      <w:pPr>
        <w:pStyle w:val="a3"/>
        <w:numPr>
          <w:ilvl w:val="0"/>
          <w:numId w:val="22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Департамент социального развития Администрации Тазовского района направляет творческие работы с заявками и согласием на обработку персональных данных в департамент социальной защиты населения                       Ямало-Ненецкого автономного округа для участия во </w:t>
      </w:r>
      <w:r>
        <w:rPr>
          <w:rFonts w:ascii="PT Astra Serif" w:hAnsi="PT Astra Serif"/>
          <w:sz w:val="28"/>
          <w:szCs w:val="28"/>
          <w:lang w:val="en-US"/>
        </w:rPr>
        <w:t>II</w:t>
      </w:r>
      <w:r>
        <w:rPr>
          <w:rFonts w:ascii="PT Astra Serif" w:hAnsi="PT Astra Serif"/>
          <w:sz w:val="28"/>
          <w:szCs w:val="28"/>
        </w:rPr>
        <w:t xml:space="preserve"> этапе окружного конкурса.</w:t>
      </w:r>
    </w:p>
    <w:p>
      <w:pPr>
        <w:tabs>
          <w:tab w:val="left" w:pos="0"/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Решение Межведомственной комиссии оформляется выпиской из </w:t>
      </w:r>
      <w:r>
        <w:rPr>
          <w:rFonts w:ascii="PT Astra Serif" w:hAnsi="PT Astra Serif"/>
          <w:spacing w:val="-20"/>
          <w:sz w:val="28"/>
          <w:szCs w:val="28"/>
        </w:rPr>
        <w:t>ре</w:t>
      </w:r>
      <w:r>
        <w:rPr>
          <w:rFonts w:ascii="PT Astra Serif" w:hAnsi="PT Astra Serif"/>
          <w:sz w:val="28"/>
          <w:szCs w:val="28"/>
        </w:rPr>
        <w:t>ше</w:t>
      </w:r>
      <w:r>
        <w:rPr>
          <w:rFonts w:ascii="PT Astra Serif" w:hAnsi="PT Astra Serif"/>
          <w:spacing w:val="-20"/>
          <w:sz w:val="28"/>
          <w:szCs w:val="28"/>
        </w:rPr>
        <w:t>ни</w:t>
      </w:r>
      <w:r>
        <w:rPr>
          <w:rFonts w:ascii="PT Astra Serif" w:hAnsi="PT Astra Serif"/>
          <w:sz w:val="28"/>
          <w:szCs w:val="28"/>
        </w:rPr>
        <w:t>я заседания Межведомственной комиссии.</w:t>
      </w:r>
    </w:p>
    <w:p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3"/>
        </w:numPr>
        <w:tabs>
          <w:tab w:val="left" w:pos="0"/>
        </w:tabs>
        <w:ind w:left="0" w:firstLine="0"/>
        <w:jc w:val="center"/>
        <w:outlineLvl w:val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Порядок проведения </w:t>
      </w:r>
      <w:r>
        <w:rPr>
          <w:rFonts w:ascii="PT Astra Serif" w:hAnsi="PT Astra Serif"/>
          <w:b/>
          <w:sz w:val="28"/>
          <w:szCs w:val="28"/>
          <w:lang w:val="en-US"/>
        </w:rPr>
        <w:t>I</w:t>
      </w:r>
      <w:r>
        <w:rPr>
          <w:rFonts w:ascii="PT Astra Serif" w:hAnsi="PT Astra Serif"/>
          <w:b/>
          <w:sz w:val="28"/>
          <w:szCs w:val="28"/>
        </w:rPr>
        <w:t xml:space="preserve"> этапа окружного конкурса</w:t>
      </w:r>
    </w:p>
    <w:p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3"/>
        </w:numPr>
        <w:tabs>
          <w:tab w:val="left" w:pos="0"/>
          <w:tab w:val="left" w:pos="1418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Форма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– заочная, на основе представления творческих работ.</w:t>
      </w:r>
    </w:p>
    <w:p>
      <w:pPr>
        <w:pStyle w:val="a3"/>
        <w:numPr>
          <w:ilvl w:val="1"/>
          <w:numId w:val="13"/>
        </w:numPr>
        <w:tabs>
          <w:tab w:val="left" w:pos="0"/>
          <w:tab w:val="left" w:pos="1418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Для участия в окружном конкурсе несовершеннолетний ребёнок, имеющий паспорт гражданина Российской Федерации, родитель (законный представитель) несовершеннолетнего ребенка (далее – участник I этапа окружного конкурса) представляют в Департамент социального развития Администрации Тазовского района до 29 ноября 2019 года следующие документы:</w:t>
      </w:r>
    </w:p>
    <w:p>
      <w:pPr>
        <w:pStyle w:val="a3"/>
        <w:numPr>
          <w:ilvl w:val="0"/>
          <w:numId w:val="23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творческую работу; </w:t>
      </w:r>
    </w:p>
    <w:p>
      <w:pPr>
        <w:pStyle w:val="a3"/>
        <w:numPr>
          <w:ilvl w:val="0"/>
          <w:numId w:val="23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заявку на участие в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этапе окружного конкурса по установленным формам (№ № 1, 2) согласно приложению № 1 к настоящему Положению:</w:t>
      </w:r>
    </w:p>
    <w:p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форма № 1 заполняется несовершеннолетним ребёнком при наличии                       у него паспорта гражданина Российской Федерации;</w:t>
      </w:r>
    </w:p>
    <w:p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 № 2 заполняется родителем (законным представителем) несовершеннолетнего ребёнка;</w:t>
      </w:r>
    </w:p>
    <w:p>
      <w:pPr>
        <w:pStyle w:val="a3"/>
        <w:numPr>
          <w:ilvl w:val="0"/>
          <w:numId w:val="24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согласие на обработку персональных данных участника окружного конкурса по форме согласно приложению № 4 к настоящему Положению.</w:t>
      </w:r>
    </w:p>
    <w:p>
      <w:pPr>
        <w:tabs>
          <w:tab w:val="left" w:pos="0"/>
          <w:tab w:val="left" w:pos="1418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Документы участником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</w:t>
      </w:r>
      <w:r>
        <w:rPr>
          <w:rFonts w:ascii="PT Astra Serif" w:eastAsiaTheme="minorHAnsi" w:hAnsi="PT Astra Serif"/>
          <w:sz w:val="28"/>
          <w:szCs w:val="28"/>
          <w:lang w:eastAsia="en-US"/>
        </w:rPr>
        <w:t>направляются                           в Департамент социального развития Администрации Тазовского района                           по почте или представляются лично</w:t>
      </w:r>
      <w:r>
        <w:rPr>
          <w:rFonts w:ascii="PT Astra Serif" w:hAnsi="PT Astra Serif"/>
          <w:sz w:val="28"/>
          <w:szCs w:val="28"/>
        </w:rPr>
        <w:t>.</w:t>
      </w:r>
    </w:p>
    <w:p>
      <w:pPr>
        <w:tabs>
          <w:tab w:val="left" w:pos="0"/>
          <w:tab w:val="left" w:pos="1418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Днем поступления документов, представленных лично участниками окружного конкурса, считается день их приема Департаментом социального развития Администрации Тазовского района.</w:t>
      </w:r>
    </w:p>
    <w:p>
      <w:pPr>
        <w:tabs>
          <w:tab w:val="left" w:pos="0"/>
          <w:tab w:val="left" w:pos="1418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Днем поступления документов, направленных по почте, считается дата, указанная на почтовом штемпеле организации почтовой связи по месту отправления документов.</w:t>
      </w:r>
    </w:p>
    <w:p>
      <w:pPr>
        <w:tabs>
          <w:tab w:val="left" w:pos="0"/>
          <w:tab w:val="left" w:pos="1418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Документы подлежат регистрации в Департаменте социального развития Администрации Тазовского района в течение 1 рабочего дня со дня приема (поступления посредством почтовой связи) указанных документов.</w:t>
      </w:r>
    </w:p>
    <w:p>
      <w:pPr>
        <w:tabs>
          <w:tab w:val="left" w:pos="0"/>
          <w:tab w:val="left" w:pos="1418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Для участия в I этапе окружного конкурса каждый заявитель представляет только одну творческую работу.</w:t>
      </w:r>
    </w:p>
    <w:p>
      <w:pPr>
        <w:tabs>
          <w:tab w:val="left" w:pos="0"/>
          <w:tab w:val="left" w:pos="1418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 участию в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этапе окружного конкурса не допускаются творческие работы, если они поступили после 29 ноября 2019 года или не соответствуют требованиям, установленным разделом </w:t>
      </w:r>
      <w:r>
        <w:rPr>
          <w:rFonts w:ascii="PT Astra Serif" w:hAnsi="PT Astra Serif"/>
          <w:sz w:val="28"/>
          <w:szCs w:val="28"/>
          <w:lang w:val="en-US"/>
        </w:rPr>
        <w:t>IV</w:t>
      </w:r>
      <w:r>
        <w:rPr>
          <w:rFonts w:ascii="PT Astra Serif" w:hAnsi="PT Astra Serif"/>
          <w:sz w:val="28"/>
          <w:szCs w:val="28"/>
        </w:rPr>
        <w:t xml:space="preserve"> настоящего Положения,                                     о чём в письменной форме в течение 3 рабочих дней с момента поступления заявки участнику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направляется соответствующее уведомление способом, позволяющим подтвердить факт и дату получения.</w:t>
      </w:r>
    </w:p>
    <w:p>
      <w:pPr>
        <w:tabs>
          <w:tab w:val="left" w:pos="0"/>
          <w:tab w:val="left" w:pos="1418"/>
        </w:tabs>
        <w:suppressAutoHyphens w:val="0"/>
        <w:overflowPunct/>
        <w:ind w:firstLine="709"/>
        <w:jc w:val="both"/>
        <w:textAlignment w:val="auto"/>
        <w:rPr>
          <w:rFonts w:ascii="PT Astra Serif" w:eastAsiaTheme="minorHAnsi" w:hAnsi="PT Astra Serif"/>
          <w:sz w:val="28"/>
          <w:szCs w:val="28"/>
          <w:lang w:eastAsia="en-US"/>
        </w:rPr>
      </w:pPr>
      <w:r>
        <w:rPr>
          <w:rFonts w:ascii="PT Astra Serif" w:eastAsiaTheme="minorHAnsi" w:hAnsi="PT Astra Serif"/>
          <w:sz w:val="28"/>
          <w:szCs w:val="28"/>
          <w:lang w:eastAsia="en-US"/>
        </w:rPr>
        <w:t xml:space="preserve">Уведомление участнику </w:t>
      </w:r>
      <w:r>
        <w:rPr>
          <w:rFonts w:ascii="PT Astra Serif" w:eastAsiaTheme="minorHAnsi" w:hAnsi="PT Astra Serif"/>
          <w:sz w:val="28"/>
          <w:szCs w:val="28"/>
          <w:lang w:val="en-US" w:eastAsia="en-US"/>
        </w:rPr>
        <w:t>I</w:t>
      </w:r>
      <w:r>
        <w:rPr>
          <w:rFonts w:ascii="PT Astra Serif" w:eastAsiaTheme="minorHAnsi" w:hAnsi="PT Astra Serif"/>
          <w:sz w:val="28"/>
          <w:szCs w:val="28"/>
          <w:lang w:eastAsia="en-US"/>
        </w:rPr>
        <w:t xml:space="preserve"> этапа окружного конкурса направляется                         по почте (факсом, электронной почтой) или предоставляется лично.</w:t>
      </w:r>
    </w:p>
    <w:p>
      <w:pPr>
        <w:tabs>
          <w:tab w:val="left" w:pos="0"/>
          <w:tab w:val="left" w:pos="1418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Творческие работы, представленные на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 окружного конкурса, возврату участникам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не подлежат и могут быть использованы в качестве иллюстративного материала в презентациях,                           на мероприятиях, направленных на обеспечение безопасных условий труда                                    на рабочих местах, размещены на сайтах уполномоченных органов местного самоуправления и в средствах массовой информации, расположенных                             на территории района в соответствии с требованиями гражданского законодательства Российской Федерации.</w:t>
      </w:r>
    </w:p>
    <w:p>
      <w:pPr>
        <w:pStyle w:val="a3"/>
        <w:numPr>
          <w:ilvl w:val="1"/>
          <w:numId w:val="13"/>
        </w:numPr>
        <w:tabs>
          <w:tab w:val="left" w:pos="0"/>
          <w:tab w:val="left" w:pos="1418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Межведомственная комиссия:</w:t>
      </w:r>
    </w:p>
    <w:p>
      <w:pPr>
        <w:pStyle w:val="a3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принимает от Департамента социального развития Администрации Тазовского района до 04 декабря 2019 года творческие работы и согласия                         на обработку персональных данных участников I этапа окружного конкурса;</w:t>
      </w:r>
    </w:p>
    <w:p>
      <w:pPr>
        <w:pStyle w:val="a3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определяет соответствие/несоответствие творческих работ требованиям, установленным разделом I</w:t>
      </w:r>
      <w:r>
        <w:rPr>
          <w:rFonts w:ascii="PT Astra Serif" w:hAnsi="PT Astra Serif"/>
          <w:sz w:val="28"/>
          <w:szCs w:val="28"/>
          <w:lang w:val="en-US"/>
        </w:rPr>
        <w:t>V</w:t>
      </w:r>
      <w:r>
        <w:rPr>
          <w:rFonts w:ascii="PT Astra Serif" w:hAnsi="PT Astra Serif"/>
          <w:sz w:val="28"/>
          <w:szCs w:val="28"/>
        </w:rPr>
        <w:t xml:space="preserve"> настоящего Положения;</w:t>
      </w:r>
    </w:p>
    <w:p>
      <w:pPr>
        <w:pStyle w:val="a3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определяет список участников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конкурса;</w:t>
      </w:r>
    </w:p>
    <w:p>
      <w:pPr>
        <w:pStyle w:val="a3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оценивает творческие работы участников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по балльной системе, по критериям, определённым в приложении № 2                             к настоящему Положению;</w:t>
      </w:r>
    </w:p>
    <w:p>
      <w:pPr>
        <w:pStyle w:val="a3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определяет 3-х участников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в каждой возрастной категории, творческие работы которых набрали наибольшую сумму баллов;</w:t>
      </w:r>
    </w:p>
    <w:p>
      <w:pPr>
        <w:pStyle w:val="a3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оформляет протокол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до 10 декабря                          2019 года;</w:t>
      </w:r>
    </w:p>
    <w:p>
      <w:pPr>
        <w:pStyle w:val="a3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представляет в конкурсную комиссию департамента социальной защиты населения Ямало-Ненецкого автономного округа до 18 декабря                        2019 года выписку из решения заседания межведомственной комиссии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конкурса,  оценочный лист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                   согласно приложению  № 3 к настоящему Положению, творческие работы                 (не более 3-х работ в каждой возрастной категории) заявки и согласие на обработку персональных данных участников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к ним.</w:t>
      </w:r>
    </w:p>
    <w:p>
      <w:pPr>
        <w:pStyle w:val="a3"/>
        <w:numPr>
          <w:ilvl w:val="1"/>
          <w:numId w:val="13"/>
        </w:numPr>
        <w:tabs>
          <w:tab w:val="left" w:pos="0"/>
          <w:tab w:val="left" w:pos="1418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Определение победителей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в каждой возрастной категории осуществляется Межведомственной комиссией                               на основании оценки творческих работ по балльной системе:</w:t>
      </w:r>
    </w:p>
    <w:p>
      <w:pPr>
        <w:pStyle w:val="a3"/>
        <w:numPr>
          <w:ilvl w:val="0"/>
          <w:numId w:val="27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количество баллов суммируется по всем критериям;</w:t>
      </w:r>
    </w:p>
    <w:p>
      <w:pPr>
        <w:pStyle w:val="a3"/>
        <w:numPr>
          <w:ilvl w:val="0"/>
          <w:numId w:val="27"/>
        </w:numPr>
        <w:tabs>
          <w:tab w:val="left" w:pos="0"/>
          <w:tab w:val="left" w:pos="1134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победители выявляются по наибольшей сумме набранных баллов.</w:t>
      </w:r>
    </w:p>
    <w:p>
      <w:pPr>
        <w:pStyle w:val="a3"/>
        <w:numPr>
          <w:ilvl w:val="1"/>
          <w:numId w:val="13"/>
        </w:numPr>
        <w:tabs>
          <w:tab w:val="left" w:pos="0"/>
          <w:tab w:val="left" w:pos="1418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равенства набранных баллов творческих работ участников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 этапа окружного конкурса ранжирование баллов в оценочных листах осуществляется в порядке поступления творческих работ. </w:t>
      </w:r>
    </w:p>
    <w:p>
      <w:pPr>
        <w:tabs>
          <w:tab w:val="left" w:pos="0"/>
          <w:tab w:val="left" w:pos="1418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Ранжирование баллов по оценочному листу осуществляется в порядке убывания баллов.</w:t>
      </w:r>
    </w:p>
    <w:p>
      <w:pPr>
        <w:pStyle w:val="a3"/>
        <w:numPr>
          <w:ilvl w:val="1"/>
          <w:numId w:val="13"/>
        </w:numPr>
        <w:tabs>
          <w:tab w:val="left" w:pos="0"/>
          <w:tab w:val="left" w:pos="1418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Информация об итогах проведения I этапа окружного                         конкурса размещается на официальных интернет-сайтах  Тазовского района                    в течение 5 рабочих дней после принятия решения о победителях I этапа окружного конкурса. </w:t>
      </w:r>
    </w:p>
    <w:p>
      <w:pPr>
        <w:tabs>
          <w:tab w:val="left" w:pos="0"/>
        </w:tabs>
        <w:jc w:val="center"/>
        <w:outlineLvl w:val="0"/>
        <w:rPr>
          <w:rFonts w:ascii="PT Astra Serif" w:hAnsi="PT Astra Serif"/>
          <w:sz w:val="20"/>
          <w:szCs w:val="28"/>
        </w:rPr>
      </w:pPr>
    </w:p>
    <w:p>
      <w:pPr>
        <w:pStyle w:val="a3"/>
        <w:numPr>
          <w:ilvl w:val="0"/>
          <w:numId w:val="13"/>
        </w:numPr>
        <w:tabs>
          <w:tab w:val="left" w:pos="0"/>
        </w:tabs>
        <w:ind w:left="0" w:firstLine="0"/>
        <w:jc w:val="center"/>
        <w:outlineLvl w:val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Требования к творческим работам</w:t>
      </w:r>
    </w:p>
    <w:p>
      <w:pPr>
        <w:tabs>
          <w:tab w:val="left" w:pos="0"/>
        </w:tabs>
        <w:jc w:val="center"/>
        <w:outlineLvl w:val="0"/>
        <w:rPr>
          <w:rFonts w:ascii="PT Astra Serif" w:hAnsi="PT Astra Serif"/>
          <w:sz w:val="20"/>
          <w:szCs w:val="28"/>
        </w:rPr>
      </w:pPr>
    </w:p>
    <w:p>
      <w:pPr>
        <w:pStyle w:val="a3"/>
        <w:numPr>
          <w:ilvl w:val="1"/>
          <w:numId w:val="13"/>
        </w:numPr>
        <w:tabs>
          <w:tab w:val="left" w:pos="0"/>
          <w:tab w:val="left" w:pos="1418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Творческие работы должны быть представлены в виде рисунка, соответствующего тематике окружного конкурса.</w:t>
      </w:r>
    </w:p>
    <w:p>
      <w:pPr>
        <w:pStyle w:val="a3"/>
        <w:numPr>
          <w:ilvl w:val="1"/>
          <w:numId w:val="13"/>
        </w:numPr>
        <w:tabs>
          <w:tab w:val="left" w:pos="0"/>
          <w:tab w:val="left" w:pos="1418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Выполнение рисунка осуществляется на любом материале (ватман, картон, холст) формата А4, А3 в любой технике рисования (масло, акварель, тушь, цветные карандаши, мелки) без рамок и ламинирования.</w:t>
      </w:r>
    </w:p>
    <w:p>
      <w:pPr>
        <w:tabs>
          <w:tab w:val="left" w:pos="0"/>
          <w:tab w:val="left" w:pos="1418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Творческие работы должны иметь этикетку размером 5 см х 10 см,                     на которой указаны название творческой работы, фамилия, имя, отчество                     (при наличии) автора (полностью), возраст.</w:t>
      </w:r>
    </w:p>
    <w:p>
      <w:pPr>
        <w:pStyle w:val="a3"/>
        <w:numPr>
          <w:ilvl w:val="1"/>
          <w:numId w:val="13"/>
        </w:numPr>
        <w:tabs>
          <w:tab w:val="left" w:pos="0"/>
          <w:tab w:val="left" w:pos="1418"/>
        </w:tabs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Содержание творческой работы должно соответствовать заданной тематике.</w:t>
      </w:r>
    </w:p>
    <w:p>
      <w:pPr>
        <w:tabs>
          <w:tab w:val="left" w:pos="0"/>
          <w:tab w:val="left" w:pos="1418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Творческие работы, не соответствующие перечисленным требованиям,             не допускаются к оцениванию по критериям, определенным в приложении № 2 к настоящему Положению.</w:t>
      </w:r>
    </w:p>
    <w:sectPr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338E"/>
    <w:multiLevelType w:val="multilevel"/>
    <w:tmpl w:val="7E6C93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72A6D"/>
    <w:multiLevelType w:val="multilevel"/>
    <w:tmpl w:val="99A01EF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2">
    <w:nsid w:val="0B137DFA"/>
    <w:multiLevelType w:val="multilevel"/>
    <w:tmpl w:val="28EA0A7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3">
    <w:nsid w:val="0B306BCA"/>
    <w:multiLevelType w:val="hybridMultilevel"/>
    <w:tmpl w:val="F536D0C6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F6E60"/>
    <w:multiLevelType w:val="multilevel"/>
    <w:tmpl w:val="28EA0A7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5">
    <w:nsid w:val="22E27116"/>
    <w:multiLevelType w:val="hybridMultilevel"/>
    <w:tmpl w:val="3836DFE2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6901B9"/>
    <w:multiLevelType w:val="hybridMultilevel"/>
    <w:tmpl w:val="991AE4AE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35291709"/>
    <w:multiLevelType w:val="multilevel"/>
    <w:tmpl w:val="28EA0A7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8">
    <w:nsid w:val="3B2A04E9"/>
    <w:multiLevelType w:val="hybridMultilevel"/>
    <w:tmpl w:val="37FADA10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EA136B"/>
    <w:multiLevelType w:val="multilevel"/>
    <w:tmpl w:val="7E6C93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9401A"/>
    <w:multiLevelType w:val="hybridMultilevel"/>
    <w:tmpl w:val="CAB2C71E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F00C35"/>
    <w:multiLevelType w:val="hybridMultilevel"/>
    <w:tmpl w:val="08F64896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625CFD"/>
    <w:multiLevelType w:val="hybridMultilevel"/>
    <w:tmpl w:val="588C5960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A64FA"/>
    <w:multiLevelType w:val="hybridMultilevel"/>
    <w:tmpl w:val="F2C03764"/>
    <w:lvl w:ilvl="0" w:tplc="D1FAFEC2">
      <w:start w:val="4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9E915F9"/>
    <w:multiLevelType w:val="multilevel"/>
    <w:tmpl w:val="7E6C93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433078"/>
    <w:multiLevelType w:val="multilevel"/>
    <w:tmpl w:val="74CAF3B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6">
    <w:nsid w:val="5D9E321D"/>
    <w:multiLevelType w:val="multilevel"/>
    <w:tmpl w:val="74CAF3B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7">
    <w:nsid w:val="60DD54AD"/>
    <w:multiLevelType w:val="multilevel"/>
    <w:tmpl w:val="74CAF3B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8">
    <w:nsid w:val="638F2900"/>
    <w:multiLevelType w:val="hybridMultilevel"/>
    <w:tmpl w:val="4620B224"/>
    <w:lvl w:ilvl="0" w:tplc="217AB76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66005E2A"/>
    <w:multiLevelType w:val="multilevel"/>
    <w:tmpl w:val="7E621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0">
    <w:nsid w:val="6D151AD6"/>
    <w:multiLevelType w:val="hybridMultilevel"/>
    <w:tmpl w:val="54C6B1F2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D001B3"/>
    <w:multiLevelType w:val="multilevel"/>
    <w:tmpl w:val="28EA0A7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2">
    <w:nsid w:val="76A85F56"/>
    <w:multiLevelType w:val="multilevel"/>
    <w:tmpl w:val="7E6C93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848B5"/>
    <w:multiLevelType w:val="multilevel"/>
    <w:tmpl w:val="28B657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78E6644"/>
    <w:multiLevelType w:val="multilevel"/>
    <w:tmpl w:val="AA68F21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5">
    <w:nsid w:val="77C87E12"/>
    <w:multiLevelType w:val="multilevel"/>
    <w:tmpl w:val="B05AD9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26">
    <w:nsid w:val="79FE4BCB"/>
    <w:multiLevelType w:val="hybridMultilevel"/>
    <w:tmpl w:val="D7882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6F06B9"/>
    <w:multiLevelType w:val="multilevel"/>
    <w:tmpl w:val="3BD84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9"/>
  </w:num>
  <w:num w:numId="2">
    <w:abstractNumId w:val="27"/>
  </w:num>
  <w:num w:numId="3">
    <w:abstractNumId w:val="23"/>
  </w:num>
  <w:num w:numId="4">
    <w:abstractNumId w:val="1"/>
  </w:num>
  <w:num w:numId="5">
    <w:abstractNumId w:val="25"/>
  </w:num>
  <w:num w:numId="6">
    <w:abstractNumId w:val="26"/>
  </w:num>
  <w:num w:numId="7">
    <w:abstractNumId w:val="13"/>
  </w:num>
  <w:num w:numId="8">
    <w:abstractNumId w:val="6"/>
  </w:num>
  <w:num w:numId="9">
    <w:abstractNumId w:val="15"/>
  </w:num>
  <w:num w:numId="10">
    <w:abstractNumId w:val="16"/>
  </w:num>
  <w:num w:numId="11">
    <w:abstractNumId w:val="8"/>
  </w:num>
  <w:num w:numId="12">
    <w:abstractNumId w:val="17"/>
  </w:num>
  <w:num w:numId="13">
    <w:abstractNumId w:val="21"/>
  </w:num>
  <w:num w:numId="14">
    <w:abstractNumId w:val="14"/>
  </w:num>
  <w:num w:numId="15">
    <w:abstractNumId w:val="0"/>
  </w:num>
  <w:num w:numId="16">
    <w:abstractNumId w:val="9"/>
  </w:num>
  <w:num w:numId="17">
    <w:abstractNumId w:val="22"/>
  </w:num>
  <w:num w:numId="18">
    <w:abstractNumId w:val="10"/>
  </w:num>
  <w:num w:numId="19">
    <w:abstractNumId w:val="24"/>
  </w:num>
  <w:num w:numId="20">
    <w:abstractNumId w:val="3"/>
  </w:num>
  <w:num w:numId="21">
    <w:abstractNumId w:val="2"/>
  </w:num>
  <w:num w:numId="22">
    <w:abstractNumId w:val="11"/>
  </w:num>
  <w:num w:numId="23">
    <w:abstractNumId w:val="5"/>
  </w:num>
  <w:num w:numId="24">
    <w:abstractNumId w:val="20"/>
  </w:num>
  <w:num w:numId="25">
    <w:abstractNumId w:val="4"/>
  </w:num>
  <w:num w:numId="26">
    <w:abstractNumId w:val="12"/>
  </w:num>
  <w:num w:numId="27">
    <w:abstractNumId w:val="18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A37C4-E93A-4470-8EDD-6B61ED966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uppressAutoHyphens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suppressAutoHyphens w:val="0"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Pr>
      <w:rFonts w:cs="Times New Roman"/>
      <w:color w:val="106BBE"/>
    </w:rPr>
  </w:style>
  <w:style w:type="table" w:styleId="a5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ConsPlusNormal0">
    <w:name w:val="ConsPlusNormal Знак"/>
    <w:link w:val="ConsPlusNormal"/>
    <w:locked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semiHidden/>
  </w:style>
  <w:style w:type="paragraph" w:styleId="ad">
    <w:name w:val="Title"/>
    <w:basedOn w:val="a"/>
    <w:link w:val="ae"/>
    <w:qFormat/>
    <w:pPr>
      <w:suppressAutoHyphens w:val="0"/>
      <w:overflowPunct/>
      <w:autoSpaceDE/>
      <w:autoSpaceDN/>
      <w:adjustRightInd/>
      <w:jc w:val="center"/>
      <w:textAlignment w:val="auto"/>
    </w:pPr>
    <w:rPr>
      <w:sz w:val="28"/>
      <w:szCs w:val="26"/>
    </w:rPr>
  </w:style>
  <w:style w:type="character" w:customStyle="1" w:styleId="ae">
    <w:name w:val="Название Знак"/>
    <w:basedOn w:val="a0"/>
    <w:link w:val="ad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pPr>
      <w:suppressAutoHyphens w:val="0"/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f">
    <w:name w:val="line number"/>
    <w:basedOn w:val="a0"/>
    <w:uiPriority w:val="99"/>
    <w:semiHidden/>
    <w:unhideWhenUsed/>
  </w:style>
  <w:style w:type="paragraph" w:styleId="af0">
    <w:name w:val="Body Text"/>
    <w:basedOn w:val="a"/>
    <w:link w:val="af1"/>
    <w:uiPriority w:val="99"/>
    <w:semiHidden/>
    <w:unhideWhenUsed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3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1905E-17AC-43E6-8487-4B5A7E578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4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AO_Sorochinskij</dc:creator>
  <cp:lastModifiedBy>Фадеева Алена Михайловна</cp:lastModifiedBy>
  <cp:revision>34</cp:revision>
  <cp:lastPrinted>2019-10-31T07:07:00Z</cp:lastPrinted>
  <dcterms:created xsi:type="dcterms:W3CDTF">2018-11-12T09:51:00Z</dcterms:created>
  <dcterms:modified xsi:type="dcterms:W3CDTF">2019-10-31T07:07:00Z</dcterms:modified>
</cp:coreProperties>
</file>